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AF91A" w14:textId="6AA278F8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94063E">
        <w:rPr>
          <w:b/>
          <w:bCs/>
          <w:color w:val="000000"/>
        </w:rPr>
        <w:t>0</w:t>
      </w:r>
      <w:r w:rsidR="00F97693">
        <w:rPr>
          <w:b/>
          <w:bCs/>
          <w:color w:val="000000"/>
        </w:rPr>
        <w:t>3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3B7F4628" w:rsidR="0002625F" w:rsidRDefault="00F97693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31 марта</w:t>
      </w:r>
      <w:r w:rsidR="00E21D9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0D2809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 </w:t>
      </w:r>
      <w:r w:rsidR="00272331">
        <w:rPr>
          <w:i/>
          <w:iCs/>
          <w:color w:val="000000"/>
        </w:rPr>
        <w:t xml:space="preserve">      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14:paraId="1B26924D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1C74C52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12294D81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074281">
        <w:rPr>
          <w:b/>
          <w:bCs/>
        </w:rPr>
        <w:t xml:space="preserve">, Орехова Н.М., </w:t>
      </w:r>
      <w:proofErr w:type="spellStart"/>
      <w:r w:rsidR="00074281">
        <w:rPr>
          <w:b/>
          <w:bCs/>
        </w:rPr>
        <w:t>Кунавина</w:t>
      </w:r>
      <w:proofErr w:type="spellEnd"/>
      <w:r w:rsidR="00074281">
        <w:rPr>
          <w:b/>
          <w:bCs/>
        </w:rPr>
        <w:t xml:space="preserve">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09681E63" w14:textId="77777777" w:rsidR="0002625F" w:rsidRDefault="0002625F">
      <w:pPr>
        <w:ind w:left="720" w:right="-1"/>
        <w:jc w:val="both"/>
        <w:outlineLvl w:val="0"/>
        <w:rPr>
          <w:b/>
          <w:bCs/>
        </w:rPr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1A8BF673" w14:textId="77777777"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14:paraId="067A6323" w14:textId="6EDE07E4"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7A27835D" w14:textId="3AD93F42" w:rsidR="00F97693" w:rsidRDefault="006E333D" w:rsidP="00F97693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6E333D">
        <w:rPr>
          <w:b/>
          <w:bCs/>
          <w:spacing w:val="-1"/>
          <w:sz w:val="23"/>
          <w:szCs w:val="23"/>
        </w:rPr>
        <w:t xml:space="preserve">1. </w:t>
      </w:r>
      <w:r w:rsidR="00262E24">
        <w:rPr>
          <w:b/>
          <w:bCs/>
          <w:spacing w:val="-1"/>
          <w:sz w:val="23"/>
          <w:szCs w:val="23"/>
        </w:rPr>
        <w:t xml:space="preserve">Общество с ограниченной ответственностью </w:t>
      </w:r>
      <w:r w:rsidR="00F97693">
        <w:rPr>
          <w:b/>
          <w:bCs/>
          <w:spacing w:val="-1"/>
          <w:sz w:val="23"/>
          <w:szCs w:val="23"/>
        </w:rPr>
        <w:t>«НК Роснефть-НТЦ» ИНН 2310095895;</w:t>
      </w:r>
    </w:p>
    <w:p w14:paraId="3B5C8AF0" w14:textId="39BC93C1" w:rsidR="00F97693" w:rsidRDefault="00F97693" w:rsidP="00F97693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2. Общество с ограниченной ответственностью «РН-Краснодарнефтегаз» ИНН 2309095298;</w:t>
      </w:r>
    </w:p>
    <w:p w14:paraId="127D1521" w14:textId="149C18A0" w:rsidR="00F97693" w:rsidRDefault="00F97693" w:rsidP="00F97693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3. Закрытое акционерное общество «</w:t>
      </w:r>
      <w:proofErr w:type="spellStart"/>
      <w:r>
        <w:rPr>
          <w:b/>
          <w:bCs/>
          <w:spacing w:val="-1"/>
          <w:sz w:val="23"/>
          <w:szCs w:val="23"/>
        </w:rPr>
        <w:t>Стройинжиниринг</w:t>
      </w:r>
      <w:proofErr w:type="spellEnd"/>
      <w:r>
        <w:rPr>
          <w:b/>
          <w:bCs/>
          <w:spacing w:val="-1"/>
          <w:sz w:val="23"/>
          <w:szCs w:val="23"/>
        </w:rPr>
        <w:t>» ИНН 2310082600;</w:t>
      </w:r>
    </w:p>
    <w:p w14:paraId="43697DA7" w14:textId="52AD50FE" w:rsidR="00F97693" w:rsidRDefault="00F97693" w:rsidP="00F97693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 xml:space="preserve">4. Общество с ограниченной ответственностью «Вальтер </w:t>
      </w:r>
      <w:proofErr w:type="spellStart"/>
      <w:r>
        <w:rPr>
          <w:b/>
          <w:bCs/>
          <w:spacing w:val="-1"/>
          <w:sz w:val="23"/>
          <w:szCs w:val="23"/>
        </w:rPr>
        <w:t>Констракшн</w:t>
      </w:r>
      <w:proofErr w:type="spellEnd"/>
      <w:r>
        <w:rPr>
          <w:b/>
          <w:bCs/>
          <w:spacing w:val="-1"/>
          <w:sz w:val="23"/>
          <w:szCs w:val="23"/>
        </w:rPr>
        <w:t>» ИНН 2312210310;</w:t>
      </w:r>
    </w:p>
    <w:p w14:paraId="5E0906A0" w14:textId="1AEC637C" w:rsidR="00F97693" w:rsidRDefault="00F97693" w:rsidP="00F97693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5. Общество с ограниченной ответственностью «</w:t>
      </w:r>
      <w:proofErr w:type="spellStart"/>
      <w:r>
        <w:rPr>
          <w:b/>
          <w:bCs/>
          <w:spacing w:val="-1"/>
          <w:sz w:val="23"/>
          <w:szCs w:val="23"/>
        </w:rPr>
        <w:t>Проектмонтажюг</w:t>
      </w:r>
      <w:proofErr w:type="spellEnd"/>
      <w:r>
        <w:rPr>
          <w:b/>
          <w:bCs/>
          <w:spacing w:val="-1"/>
          <w:sz w:val="23"/>
          <w:szCs w:val="23"/>
        </w:rPr>
        <w:t>» ИНН 2308109283;</w:t>
      </w:r>
    </w:p>
    <w:p w14:paraId="79B158EC" w14:textId="7119FEF4" w:rsidR="00F97693" w:rsidRDefault="00F97693" w:rsidP="00F97693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6. Общество с ограниченной ответственностью «СКИП» ИНН 2309119598;</w:t>
      </w:r>
    </w:p>
    <w:p w14:paraId="35773A2D" w14:textId="70E27E3F" w:rsidR="0002625F" w:rsidRPr="006E333D" w:rsidRDefault="00F97693" w:rsidP="005A308D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7. Общество с ограниченной ответственностью «</w:t>
      </w:r>
      <w:proofErr w:type="spellStart"/>
      <w:r>
        <w:rPr>
          <w:b/>
          <w:bCs/>
          <w:spacing w:val="-1"/>
          <w:sz w:val="23"/>
          <w:szCs w:val="23"/>
        </w:rPr>
        <w:t>ГТСпроект</w:t>
      </w:r>
      <w:proofErr w:type="spellEnd"/>
      <w:r>
        <w:rPr>
          <w:b/>
          <w:bCs/>
          <w:spacing w:val="-1"/>
          <w:sz w:val="23"/>
          <w:szCs w:val="23"/>
        </w:rPr>
        <w:t xml:space="preserve">» ИНН 2315175216, </w:t>
      </w:r>
      <w:r w:rsidR="0002625F">
        <w:t xml:space="preserve">а </w:t>
      </w:r>
      <w:proofErr w:type="gramStart"/>
      <w:r w:rsidR="0002625F">
        <w:t>так же</w:t>
      </w:r>
      <w:proofErr w:type="gramEnd"/>
      <w:r w:rsidR="0002625F">
        <w:t xml:space="preserve"> доложил о результатах проведения контрольной плановой проверки и соблюдения членом С</w:t>
      </w:r>
      <w:r w:rsidR="00272331">
        <w:t>РО</w:t>
      </w:r>
      <w:r w:rsidR="0002625F"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>«</w:t>
      </w:r>
      <w:proofErr w:type="gramStart"/>
      <w:r>
        <w:t xml:space="preserve">За»   </w:t>
      </w:r>
      <w:proofErr w:type="gramEnd"/>
      <w:r>
        <w:t xml:space="preserve">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1695D579" w14:textId="3AA01919" w:rsidR="0002625F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</w:t>
      </w:r>
      <w:proofErr w:type="gramStart"/>
      <w:r w:rsidR="004910FD">
        <w:t xml:space="preserve">-  </w:t>
      </w:r>
      <w:r w:rsidR="00FB0083">
        <w:t>членов</w:t>
      </w:r>
      <w:proofErr w:type="gramEnd"/>
      <w:r w:rsidR="00FB0083">
        <w:t xml:space="preserve"> </w:t>
      </w:r>
      <w:r w:rsidR="00272331">
        <w:t>СРО</w:t>
      </w:r>
      <w:r w:rsidR="007F5556">
        <w:t>:</w:t>
      </w:r>
    </w:p>
    <w:p w14:paraId="4D8AA5A5" w14:textId="77777777" w:rsidR="00F97693" w:rsidRDefault="00F97693" w:rsidP="00F97693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6E333D">
        <w:rPr>
          <w:b/>
          <w:bCs/>
          <w:spacing w:val="-1"/>
          <w:sz w:val="23"/>
          <w:szCs w:val="23"/>
        </w:rPr>
        <w:lastRenderedPageBreak/>
        <w:t xml:space="preserve">1. </w:t>
      </w:r>
      <w:r>
        <w:rPr>
          <w:b/>
          <w:bCs/>
          <w:spacing w:val="-1"/>
          <w:sz w:val="23"/>
          <w:szCs w:val="23"/>
        </w:rPr>
        <w:t>Общество с ограниченной ответственностью «НК Роснефть-НТЦ» ИНН 2310095895;</w:t>
      </w:r>
    </w:p>
    <w:p w14:paraId="5B01944A" w14:textId="77777777" w:rsidR="00F97693" w:rsidRDefault="00F97693" w:rsidP="00F97693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2. Общество с ограниченной ответственностью «РН-Краснодарнефтегаз» ИНН 2309095298;</w:t>
      </w:r>
    </w:p>
    <w:p w14:paraId="66A2C38E" w14:textId="77777777" w:rsidR="00F97693" w:rsidRDefault="00F97693" w:rsidP="00F97693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3. Закрытое акционерное общество «</w:t>
      </w:r>
      <w:proofErr w:type="spellStart"/>
      <w:r>
        <w:rPr>
          <w:b/>
          <w:bCs/>
          <w:spacing w:val="-1"/>
          <w:sz w:val="23"/>
          <w:szCs w:val="23"/>
        </w:rPr>
        <w:t>Стройинжиниринг</w:t>
      </w:r>
      <w:proofErr w:type="spellEnd"/>
      <w:r>
        <w:rPr>
          <w:b/>
          <w:bCs/>
          <w:spacing w:val="-1"/>
          <w:sz w:val="23"/>
          <w:szCs w:val="23"/>
        </w:rPr>
        <w:t>» ИНН 2310082600;</w:t>
      </w:r>
    </w:p>
    <w:p w14:paraId="0D351547" w14:textId="77777777" w:rsidR="00F97693" w:rsidRDefault="00F97693" w:rsidP="00F97693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 xml:space="preserve">4. Общество с ограниченной ответственностью «Вальтер </w:t>
      </w:r>
      <w:proofErr w:type="spellStart"/>
      <w:r>
        <w:rPr>
          <w:b/>
          <w:bCs/>
          <w:spacing w:val="-1"/>
          <w:sz w:val="23"/>
          <w:szCs w:val="23"/>
        </w:rPr>
        <w:t>Констракшн</w:t>
      </w:r>
      <w:proofErr w:type="spellEnd"/>
      <w:r>
        <w:rPr>
          <w:b/>
          <w:bCs/>
          <w:spacing w:val="-1"/>
          <w:sz w:val="23"/>
          <w:szCs w:val="23"/>
        </w:rPr>
        <w:t>» ИНН 2312210310;</w:t>
      </w:r>
    </w:p>
    <w:p w14:paraId="487DED7B" w14:textId="77777777" w:rsidR="00F97693" w:rsidRDefault="00F97693" w:rsidP="00F97693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5. Общество с ограниченной ответственностью «</w:t>
      </w:r>
      <w:proofErr w:type="spellStart"/>
      <w:r>
        <w:rPr>
          <w:b/>
          <w:bCs/>
          <w:spacing w:val="-1"/>
          <w:sz w:val="23"/>
          <w:szCs w:val="23"/>
        </w:rPr>
        <w:t>Проектмонтажюг</w:t>
      </w:r>
      <w:proofErr w:type="spellEnd"/>
      <w:r>
        <w:rPr>
          <w:b/>
          <w:bCs/>
          <w:spacing w:val="-1"/>
          <w:sz w:val="23"/>
          <w:szCs w:val="23"/>
        </w:rPr>
        <w:t>» ИНН 2308109283;</w:t>
      </w:r>
    </w:p>
    <w:p w14:paraId="220C535D" w14:textId="77777777" w:rsidR="00F97693" w:rsidRDefault="00F97693" w:rsidP="00F97693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6. Общество с ограниченной ответственностью «СКИП» ИНН 2309119598;</w:t>
      </w:r>
    </w:p>
    <w:p w14:paraId="604EC3CE" w14:textId="301D2917" w:rsidR="00FD2721" w:rsidRDefault="00F97693" w:rsidP="00F97693">
      <w:pPr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7. Общество с ограниченной ответственностью «</w:t>
      </w:r>
      <w:proofErr w:type="spellStart"/>
      <w:r>
        <w:rPr>
          <w:b/>
          <w:bCs/>
          <w:spacing w:val="-1"/>
          <w:sz w:val="23"/>
          <w:szCs w:val="23"/>
        </w:rPr>
        <w:t>ГТСпроект</w:t>
      </w:r>
      <w:proofErr w:type="spellEnd"/>
      <w:r>
        <w:rPr>
          <w:b/>
          <w:bCs/>
          <w:spacing w:val="-1"/>
          <w:sz w:val="23"/>
          <w:szCs w:val="23"/>
        </w:rPr>
        <w:t xml:space="preserve">» ИНН 2315175216. </w:t>
      </w:r>
    </w:p>
    <w:p w14:paraId="69BE2A39" w14:textId="3F66C8DD" w:rsidR="00144136" w:rsidRDefault="00144136" w:rsidP="00F97693">
      <w:pPr>
        <w:rPr>
          <w:b/>
          <w:bCs/>
          <w:spacing w:val="-1"/>
          <w:sz w:val="23"/>
          <w:szCs w:val="23"/>
        </w:rPr>
      </w:pPr>
    </w:p>
    <w:p w14:paraId="65349F4C" w14:textId="77777777" w:rsidR="00144136" w:rsidRDefault="00144136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ED01EB9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И.П.Бугаев</w:t>
      </w:r>
      <w:proofErr w:type="spellEnd"/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77777777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Н.Н.Хавка</w:t>
      </w:r>
      <w:proofErr w:type="spellEnd"/>
    </w:p>
    <w:sectPr w:rsidR="0002625F" w:rsidSect="00AE59C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993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CCCDD" w14:textId="77777777" w:rsidR="00F15C1F" w:rsidRDefault="00F15C1F" w:rsidP="0002625F">
      <w:r>
        <w:separator/>
      </w:r>
    </w:p>
  </w:endnote>
  <w:endnote w:type="continuationSeparator" w:id="0">
    <w:p w14:paraId="20F6A52E" w14:textId="77777777" w:rsidR="00F15C1F" w:rsidRDefault="00F15C1F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7F11E" w14:textId="77777777" w:rsidR="00F15C1F" w:rsidRDefault="00F15C1F" w:rsidP="0002625F">
      <w:r>
        <w:separator/>
      </w:r>
    </w:p>
  </w:footnote>
  <w:footnote w:type="continuationSeparator" w:id="0">
    <w:p w14:paraId="28F18D51" w14:textId="77777777" w:rsidR="00F15C1F" w:rsidRDefault="00F15C1F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7" name="Рисунок 7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17"/>
  </w:num>
  <w:num w:numId="13">
    <w:abstractNumId w:val="10"/>
  </w:num>
  <w:num w:numId="14">
    <w:abstractNumId w:val="19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2625F"/>
    <w:rsid w:val="00036613"/>
    <w:rsid w:val="00047D34"/>
    <w:rsid w:val="000678D7"/>
    <w:rsid w:val="00074281"/>
    <w:rsid w:val="000B0A3B"/>
    <w:rsid w:val="000B497B"/>
    <w:rsid w:val="000C0EE7"/>
    <w:rsid w:val="000C4736"/>
    <w:rsid w:val="000C54F0"/>
    <w:rsid w:val="000D2809"/>
    <w:rsid w:val="000E101D"/>
    <w:rsid w:val="000E1E32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C2037"/>
    <w:rsid w:val="002D4574"/>
    <w:rsid w:val="002F1DC3"/>
    <w:rsid w:val="00336A31"/>
    <w:rsid w:val="0038751B"/>
    <w:rsid w:val="003D6850"/>
    <w:rsid w:val="004101BD"/>
    <w:rsid w:val="00412D12"/>
    <w:rsid w:val="00413092"/>
    <w:rsid w:val="0043526E"/>
    <w:rsid w:val="004616E1"/>
    <w:rsid w:val="00481AC2"/>
    <w:rsid w:val="004910FD"/>
    <w:rsid w:val="004C0DA8"/>
    <w:rsid w:val="004E3474"/>
    <w:rsid w:val="0050374C"/>
    <w:rsid w:val="00507EAC"/>
    <w:rsid w:val="00525AC9"/>
    <w:rsid w:val="00580D84"/>
    <w:rsid w:val="005A308D"/>
    <w:rsid w:val="005A67AA"/>
    <w:rsid w:val="005C6388"/>
    <w:rsid w:val="005F6D6C"/>
    <w:rsid w:val="006426F9"/>
    <w:rsid w:val="006C7894"/>
    <w:rsid w:val="006E1C84"/>
    <w:rsid w:val="006E333D"/>
    <w:rsid w:val="0070590C"/>
    <w:rsid w:val="00750F44"/>
    <w:rsid w:val="00764F5F"/>
    <w:rsid w:val="0076595D"/>
    <w:rsid w:val="00770239"/>
    <w:rsid w:val="007C6B36"/>
    <w:rsid w:val="007D26DF"/>
    <w:rsid w:val="007F5556"/>
    <w:rsid w:val="00897938"/>
    <w:rsid w:val="008E6B63"/>
    <w:rsid w:val="009248E7"/>
    <w:rsid w:val="00937A2F"/>
    <w:rsid w:val="0094063E"/>
    <w:rsid w:val="00966D8A"/>
    <w:rsid w:val="00971FEC"/>
    <w:rsid w:val="009A3945"/>
    <w:rsid w:val="009A5EE6"/>
    <w:rsid w:val="009D6FEE"/>
    <w:rsid w:val="00A01EE3"/>
    <w:rsid w:val="00A3700E"/>
    <w:rsid w:val="00A50EEE"/>
    <w:rsid w:val="00AB74DB"/>
    <w:rsid w:val="00AC0F24"/>
    <w:rsid w:val="00AE5514"/>
    <w:rsid w:val="00AE59C3"/>
    <w:rsid w:val="00B03659"/>
    <w:rsid w:val="00BF31DC"/>
    <w:rsid w:val="00C1742F"/>
    <w:rsid w:val="00C61A4E"/>
    <w:rsid w:val="00C956DA"/>
    <w:rsid w:val="00C974CE"/>
    <w:rsid w:val="00CE194C"/>
    <w:rsid w:val="00CF3BCF"/>
    <w:rsid w:val="00CF4175"/>
    <w:rsid w:val="00D00345"/>
    <w:rsid w:val="00D67B67"/>
    <w:rsid w:val="00DB5501"/>
    <w:rsid w:val="00E21D95"/>
    <w:rsid w:val="00EA3D07"/>
    <w:rsid w:val="00EA3D5A"/>
    <w:rsid w:val="00EA48B1"/>
    <w:rsid w:val="00ED3BF3"/>
    <w:rsid w:val="00F15C1F"/>
    <w:rsid w:val="00F201F1"/>
    <w:rsid w:val="00F723F7"/>
    <w:rsid w:val="00F7565C"/>
    <w:rsid w:val="00F97693"/>
    <w:rsid w:val="00FB0083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4</cp:revision>
  <cp:lastPrinted>2021-03-18T07:07:00Z</cp:lastPrinted>
  <dcterms:created xsi:type="dcterms:W3CDTF">2021-03-18T07:07:00Z</dcterms:created>
  <dcterms:modified xsi:type="dcterms:W3CDTF">2021-06-01T07:57:00Z</dcterms:modified>
</cp:coreProperties>
</file>